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tabs>
          <w:tab w:val="left" w:pos="426"/>
        </w:tabs>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118</w:t>
      </w:r>
      <w:r w:rsidR="00690EBC">
        <w:rPr>
          <w:rFonts w:ascii="Arial" w:hAnsi="Arial" w:cs="Arial"/>
          <w:b/>
          <w:sz w:val="22"/>
          <w:szCs w:val="22"/>
          <w:lang w:val="es-MX"/>
        </w:rPr>
        <w:t>.-</w:t>
      </w:r>
      <w:r w:rsidRPr="002B7E4F">
        <w:rPr>
          <w:rFonts w:ascii="Arial" w:hAnsi="Arial" w:cs="Arial"/>
          <w:b/>
          <w:sz w:val="22"/>
          <w:szCs w:val="22"/>
          <w:lang w:val="es-MX"/>
        </w:rPr>
        <w:t xml:space="preserve">  TABLERO DE RESPALDO GENERAL</w:t>
      </w:r>
    </w:p>
    <w:p w:rsidR="002B7E4F" w:rsidRPr="002B7E4F" w:rsidRDefault="002B7E4F" w:rsidP="002B7E4F">
      <w:pPr>
        <w:tabs>
          <w:tab w:val="left" w:pos="426"/>
        </w:tabs>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tablero de distribución "U", alimentado desde SAI, para la alimentación de los circuitos críticos, totalmente equipados para el  correcto funcionamiento de la instalación. Incluye los soportes correspondientes, latiguillos de conexión, cable de alimentación y parte proporcional de tubo metálico y elementos auxiliares. Según especificaciones técnicas.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8"/>
        </w:numPr>
        <w:rPr>
          <w:rFonts w:ascii="Arial" w:hAnsi="Arial" w:cs="Arial"/>
          <w:b/>
          <w:sz w:val="22"/>
          <w:szCs w:val="22"/>
        </w:rPr>
      </w:pPr>
      <w:bookmarkStart w:id="1" w:name="_Toc368069905"/>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tableros operarán en un sistema trifásico de 220 / 127 V, + / - 10 %; 60 Hz., + / - 1 Hz., tres fases, cuatro hilos.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el tablero de distribución para la alimentación de los circuitos críticos de la estación, tablero “U”. Este tablero se alimentará des del SAI  de estación.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Estos tableros serán inteligentes, con </w:t>
      </w:r>
      <w:proofErr w:type="spellStart"/>
      <w:r w:rsidRPr="002B7E4F">
        <w:rPr>
          <w:rFonts w:ascii="Arial" w:hAnsi="Arial" w:cs="Arial"/>
          <w:sz w:val="22"/>
          <w:szCs w:val="22"/>
        </w:rPr>
        <w:t>contactores</w:t>
      </w:r>
      <w:proofErr w:type="spellEnd"/>
      <w:r w:rsidRPr="002B7E4F">
        <w:rPr>
          <w:rFonts w:ascii="Arial" w:hAnsi="Arial" w:cs="Arial"/>
          <w:sz w:val="22"/>
          <w:szCs w:val="22"/>
        </w:rPr>
        <w:t xml:space="preserve"> </w:t>
      </w:r>
      <w:proofErr w:type="spellStart"/>
      <w:r w:rsidRPr="002B7E4F">
        <w:rPr>
          <w:rFonts w:ascii="Arial" w:hAnsi="Arial" w:cs="Arial"/>
          <w:sz w:val="22"/>
          <w:szCs w:val="22"/>
        </w:rPr>
        <w:t>telemandados</w:t>
      </w:r>
      <w:proofErr w:type="spellEnd"/>
      <w:r w:rsidRPr="002B7E4F">
        <w:rPr>
          <w:rFonts w:ascii="Arial" w:hAnsi="Arial" w:cs="Arial"/>
          <w:sz w:val="22"/>
          <w:szCs w:val="22"/>
        </w:rPr>
        <w:t xml:space="preserve"> permitiendo su maniobra de forma remota a través del Telemando de Energía. Igualmente, dispondrán de los PLC necesarios para poder comunicar las señales con el Telemando de Instalaciones de Estaciones (TES).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 la fabricación de los tableros se realizará el diseño detallado de cada uno de ellos, con las particularidades correspondientes en cada una de las estaciones. La construcción de los tableros responderá a las siguientes premisas: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Máxima continuidad de servicio.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para el personal de operación y mantenimiento.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contra incendios.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montaje y conexionado.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operación, inspección y mantenimiento.</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técnicas de los tableros son:</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Construcción: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Modular </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Posibilidad de alimentación: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Inferior o superior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 V / 127 V</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Intensidad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125A – 800A</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Frecuencia asignada: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Nivel de aislamiento: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Acorde a lo establecido en la norma UL891 (1000V durante 1min a 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Corriente admisible de corta duración </w:t>
            </w:r>
            <w:r w:rsidRPr="002B7E4F">
              <w:rPr>
                <w:rFonts w:ascii="Arial" w:hAnsi="Arial" w:cs="Arial"/>
                <w:sz w:val="22"/>
                <w:szCs w:val="22"/>
              </w:rPr>
              <w:lastRenderedPageBreak/>
              <w:t>(</w:t>
            </w:r>
            <w:proofErr w:type="spellStart"/>
            <w:r w:rsidRPr="002B7E4F">
              <w:rPr>
                <w:rFonts w:ascii="Arial" w:hAnsi="Arial" w:cs="Arial"/>
                <w:sz w:val="22"/>
                <w:szCs w:val="22"/>
              </w:rPr>
              <w:t>Ik</w:t>
            </w:r>
            <w:proofErr w:type="spellEnd"/>
            <w:r w:rsidRPr="002B7E4F">
              <w:rPr>
                <w:rFonts w:ascii="Arial" w:hAnsi="Arial" w:cs="Arial"/>
                <w:sz w:val="22"/>
                <w:szCs w:val="22"/>
              </w:rPr>
              <w:t>”):</w:t>
            </w:r>
          </w:p>
        </w:tc>
        <w:tc>
          <w:tcPr>
            <w:tcW w:w="5103" w:type="dxa"/>
            <w:vMerge w:val="restart"/>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Acorde a lo establecido en la norma UL891 y </w:t>
            </w:r>
            <w:r w:rsidRPr="002B7E4F">
              <w:rPr>
                <w:rFonts w:ascii="Arial" w:hAnsi="Arial" w:cs="Arial"/>
                <w:sz w:val="22"/>
                <w:szCs w:val="22"/>
              </w:rPr>
              <w:lastRenderedPageBreak/>
              <w:t xml:space="preserve">UL489 </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Valor de cresta del corriente admisible (</w:t>
            </w:r>
            <w:proofErr w:type="spellStart"/>
            <w:r w:rsidRPr="002B7E4F">
              <w:rPr>
                <w:rFonts w:ascii="Arial" w:hAnsi="Arial" w:cs="Arial"/>
                <w:sz w:val="22"/>
                <w:szCs w:val="22"/>
              </w:rPr>
              <w:t>Is</w:t>
            </w:r>
            <w:proofErr w:type="spellEnd"/>
            <w:r w:rsidRPr="002B7E4F">
              <w:rPr>
                <w:rFonts w:ascii="Arial" w:hAnsi="Arial" w:cs="Arial"/>
                <w:sz w:val="22"/>
                <w:szCs w:val="22"/>
              </w:rPr>
              <w:t>):</w:t>
            </w:r>
          </w:p>
        </w:tc>
        <w:tc>
          <w:tcPr>
            <w:tcW w:w="5103" w:type="dxa"/>
            <w:vMerge/>
            <w:shd w:val="clear" w:color="auto" w:fill="auto"/>
          </w:tcPr>
          <w:p w:rsidR="002B7E4F" w:rsidRPr="002B7E4F" w:rsidRDefault="002B7E4F" w:rsidP="002B7E4F">
            <w:pPr>
              <w:jc w:val="both"/>
              <w:rPr>
                <w:rFonts w:ascii="Arial" w:hAnsi="Arial" w:cs="Arial"/>
                <w:sz w:val="22"/>
                <w:szCs w:val="22"/>
              </w:rPr>
            </w:pP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 mínimo: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NEMA 12</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ANSI 49</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 los tableros estarán construidos de secciones, soportadas en estructuras metálicas rígidas, ya sea </w:t>
      </w:r>
      <w:proofErr w:type="spellStart"/>
      <w:r w:rsidRPr="002B7E4F">
        <w:rPr>
          <w:rFonts w:ascii="Arial" w:hAnsi="Arial" w:cs="Arial"/>
          <w:sz w:val="22"/>
          <w:szCs w:val="22"/>
        </w:rPr>
        <w:t>autosoportadas</w:t>
      </w:r>
      <w:proofErr w:type="spellEnd"/>
      <w:r w:rsidRPr="002B7E4F">
        <w:rPr>
          <w:rFonts w:ascii="Arial" w:hAnsi="Arial" w:cs="Arial"/>
          <w:sz w:val="22"/>
          <w:szCs w:val="22"/>
        </w:rPr>
        <w:t xml:space="preserve"> o para fijación en muro, adecuadas para alojar todos los elementos de dichos tableros.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serán de construcción modular, para prever modificaciones y/o futuras ampliaciones,  con puerta de acceso en todo el frontal, provistos de doble cierre y cierre con llave. Su posición prevista es vertical, con posibilidad de alimentación por la parte superior e inferior.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Todas las uniones de gabinetes o estructuras estarán atornilladas formando un conjunto rígido y de esta manera asegurar la perfecta puesta a tierra de las masas metálicas y la </w:t>
      </w:r>
      <w:proofErr w:type="spellStart"/>
      <w:r w:rsidRPr="002B7E4F">
        <w:rPr>
          <w:rFonts w:ascii="Arial" w:hAnsi="Arial" w:cs="Arial"/>
          <w:sz w:val="22"/>
          <w:szCs w:val="22"/>
        </w:rPr>
        <w:t>equipotencialidad</w:t>
      </w:r>
      <w:proofErr w:type="spellEnd"/>
      <w:r w:rsidRPr="002B7E4F">
        <w:rPr>
          <w:rFonts w:ascii="Arial" w:hAnsi="Arial" w:cs="Arial"/>
          <w:sz w:val="22"/>
          <w:szCs w:val="22"/>
        </w:rPr>
        <w:t xml:space="preserve"> de todos sus componentes.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deben ser sometidos a un proceso de desengrase </w:t>
      </w:r>
      <w:proofErr w:type="spellStart"/>
      <w:r w:rsidRPr="002B7E4F">
        <w:rPr>
          <w:rFonts w:ascii="Arial" w:hAnsi="Arial" w:cs="Arial"/>
          <w:sz w:val="22"/>
          <w:szCs w:val="22"/>
        </w:rPr>
        <w:t>fosfatizado</w:t>
      </w:r>
      <w:proofErr w:type="spellEnd"/>
      <w:r w:rsidRPr="002B7E4F">
        <w:rPr>
          <w:rFonts w:ascii="Arial" w:hAnsi="Arial" w:cs="Arial"/>
          <w:sz w:val="22"/>
          <w:szCs w:val="22"/>
        </w:rPr>
        <w:t xml:space="preserve"> y </w:t>
      </w:r>
      <w:proofErr w:type="spellStart"/>
      <w:r w:rsidRPr="002B7E4F">
        <w:rPr>
          <w:rFonts w:ascii="Arial" w:hAnsi="Arial" w:cs="Arial"/>
          <w:sz w:val="22"/>
          <w:szCs w:val="22"/>
        </w:rPr>
        <w:t>pasivado</w:t>
      </w:r>
      <w:proofErr w:type="spellEnd"/>
      <w:r w:rsidRPr="002B7E4F">
        <w:rPr>
          <w:rFonts w:ascii="Arial" w:hAnsi="Arial" w:cs="Arial"/>
          <w:sz w:val="22"/>
          <w:szCs w:val="22"/>
        </w:rPr>
        <w:t xml:space="preserve"> por inmersión en caliente y terminación con pintura electrostática en polvo, de 60 micrones como mínimo.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estarán divididos funcionalmente para obtener los siguientes compartimentos: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Barras generales de distribución dispuestas verticalmente.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 general posicionado verticalmente en línea con las barras principales.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Interruptores de circuito dispuestos horizontalmente de forma perpendicular a las barras principales.</w:t>
      </w:r>
    </w:p>
    <w:p w:rsidR="002B7E4F" w:rsidRPr="002B7E4F" w:rsidRDefault="002B7E4F" w:rsidP="002B7E4F">
      <w:pPr>
        <w:tabs>
          <w:tab w:val="left" w:pos="426"/>
        </w:tabs>
        <w:ind w:left="720"/>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compartimentación anterior, salvo de barras generales, permitirá la inspección y manipulación de todos los elementos, estando el tablero en tensión y sin necesidad de dejar fuera de servicio las utilizaciones adyacentes.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 ejecución será con bastidores y plancha de acero galvanizada de primera calidad (grosores respectivos de 1,5 y 2mm). Dispondrán de placa de montaje canteada de 3mm de grosor. El conjunto estará tratado con posterioridad al decapado con tres capas de imprimación </w:t>
      </w:r>
      <w:proofErr w:type="spellStart"/>
      <w:r w:rsidRPr="002B7E4F">
        <w:rPr>
          <w:rFonts w:ascii="Arial" w:hAnsi="Arial" w:cs="Arial"/>
          <w:sz w:val="22"/>
          <w:szCs w:val="22"/>
        </w:rPr>
        <w:t>fosfatante</w:t>
      </w:r>
      <w:proofErr w:type="spellEnd"/>
      <w:r w:rsidRPr="002B7E4F">
        <w:rPr>
          <w:rFonts w:ascii="Arial" w:hAnsi="Arial" w:cs="Arial"/>
          <w:sz w:val="22"/>
          <w:szCs w:val="22"/>
        </w:rPr>
        <w:t xml:space="preserve"> y dos manos de pintura </w:t>
      </w:r>
      <w:proofErr w:type="gramStart"/>
      <w:r w:rsidRPr="002B7E4F">
        <w:rPr>
          <w:rFonts w:ascii="Arial" w:hAnsi="Arial" w:cs="Arial"/>
          <w:sz w:val="22"/>
          <w:szCs w:val="22"/>
        </w:rPr>
        <w:t>anticorrosivo</w:t>
      </w:r>
      <w:proofErr w:type="gramEnd"/>
      <w:r w:rsidRPr="002B7E4F">
        <w:rPr>
          <w:rFonts w:ascii="Arial" w:hAnsi="Arial" w:cs="Arial"/>
          <w:sz w:val="22"/>
          <w:szCs w:val="22"/>
        </w:rPr>
        <w:t xml:space="preserve">.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Las masas metálicas del tablero estarán eléctricamente unidas entre sí y al conductor principal de conexión a tierra. Las puertas de acceso, deben conectarse a la estructura por medio de mallas trenzadas de sección no inferior a 6 mm².</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tableros deben contar con una barra de puesta a tierra general. Dicha barra de puesta a tierra será de cobre electrolítico de sección no inferior a 250 mm² para los tableros generales de baja tensión.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Con el propósito de evitar la corrosión por el par Galvánico, en las barras de cobre y todos los puntos de conexión localizados dentro de los tableros se deben diseñar para admitir conductores de aluminio de los alimentadores principales y los circuitos, secundarios o de respaldo.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tornillos tendrán un tratamiento anticorrosivo en base de zinc.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facilitar la posible inspección interior del tablero, todos los componentes eléctricos están fácilmente accesibles por el frente mediante puertas </w:t>
      </w:r>
      <w:proofErr w:type="spellStart"/>
      <w:r w:rsidRPr="002B7E4F">
        <w:rPr>
          <w:rFonts w:ascii="Arial" w:hAnsi="Arial" w:cs="Arial"/>
          <w:sz w:val="22"/>
          <w:szCs w:val="22"/>
        </w:rPr>
        <w:t>enbisagradas</w:t>
      </w:r>
      <w:proofErr w:type="spellEnd"/>
      <w:r w:rsidRPr="002B7E4F">
        <w:rPr>
          <w:rFonts w:ascii="Arial" w:hAnsi="Arial" w:cs="Arial"/>
          <w:sz w:val="22"/>
          <w:szCs w:val="22"/>
        </w:rPr>
        <w:t xml:space="preserve"> que permitirán una apertura mínima de 90°.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se montarán sobre guías o placas y fijados sobre travesaños específicos para sujeción.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el caso de los tableros cuya altura es superior a 1800 mm los mismos estarán provistos de un perfil estructural para permitir el anclaje al piso mediante taquetes de expansión o elementos similares.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deben instalar ganchos desmontables para </w:t>
      </w:r>
      <w:proofErr w:type="spellStart"/>
      <w:r w:rsidRPr="002B7E4F">
        <w:rPr>
          <w:rFonts w:ascii="Arial" w:hAnsi="Arial" w:cs="Arial"/>
          <w:sz w:val="22"/>
          <w:szCs w:val="22"/>
        </w:rPr>
        <w:t>izaje</w:t>
      </w:r>
      <w:proofErr w:type="spellEnd"/>
      <w:r w:rsidRPr="002B7E4F">
        <w:rPr>
          <w:rFonts w:ascii="Arial" w:hAnsi="Arial" w:cs="Arial"/>
          <w:sz w:val="22"/>
          <w:szCs w:val="22"/>
        </w:rPr>
        <w:t>, en la parte superior del conjunto.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sistema de ventilación será por convección natural permitiendo el funcionamiento de los componentes de maniobra y control dentro de los límites de temperatura recomendados por las normas. Dispondrá de aperturas de ventilación tanto en su parte inferior como superior a fin de procurar una eficaz disipación del calor interno. Estas aperturas estarán normalizadas para que permitan la protección contra proyecciones de agua.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instrumentos de medición, lámparas de señalización, elementos de comando y control, se montarán sobre paneles frontales, o puertas </w:t>
      </w:r>
      <w:proofErr w:type="spellStart"/>
      <w:r w:rsidRPr="002B7E4F">
        <w:rPr>
          <w:rFonts w:ascii="Arial" w:hAnsi="Arial" w:cs="Arial"/>
          <w:sz w:val="22"/>
          <w:szCs w:val="22"/>
        </w:rPr>
        <w:t>embisagradas</w:t>
      </w:r>
      <w:proofErr w:type="spellEnd"/>
      <w:r w:rsidRPr="002B7E4F">
        <w:rPr>
          <w:rFonts w:ascii="Arial" w:hAnsi="Arial" w:cs="Arial"/>
          <w:sz w:val="22"/>
          <w:szCs w:val="22"/>
        </w:rPr>
        <w: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deben tener identificación de acrílico con fijación mediante tornillos, que corresponda con lo indicado en los planos de distribución, diagramas unifilares y cuadros de carga.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puerta de acceso deberá preverse con un cierre estanco y un ajuste perfecto en todo su perímetro. Dicha puerta deberá mecanizarse para ubicar los componentes grafiados en los esquemas unifilares, cableándose de manera que se pueda producir una apertura total.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 xml:space="preserve">Las </w:t>
      </w:r>
      <w:proofErr w:type="spellStart"/>
      <w:r w:rsidRPr="002B7E4F">
        <w:rPr>
          <w:rFonts w:ascii="Arial" w:hAnsi="Arial" w:cs="Arial"/>
          <w:sz w:val="22"/>
          <w:szCs w:val="22"/>
        </w:rPr>
        <w:t>bornas</w:t>
      </w:r>
      <w:proofErr w:type="spellEnd"/>
      <w:r w:rsidRPr="002B7E4F">
        <w:rPr>
          <w:rFonts w:ascii="Arial" w:hAnsi="Arial" w:cs="Arial"/>
          <w:sz w:val="22"/>
          <w:szCs w:val="22"/>
        </w:rPr>
        <w:t xml:space="preserve"> de conexión de los cables de fuerza y control estarán convenientemente separadas.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estarán equipados con las terminales adecuadas para recibir el número de cables por fase, que se indicará en el proyecto respectivo.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interruptores electromagnéticos serán de las características adecuadas para operar en un sistema trifásico, tres fases, cuatro hilos, 220/127 VCA, 60 Hz. y capacidad </w:t>
      </w:r>
      <w:proofErr w:type="spellStart"/>
      <w:r w:rsidRPr="002B7E4F">
        <w:rPr>
          <w:rFonts w:ascii="Arial" w:hAnsi="Arial" w:cs="Arial"/>
          <w:sz w:val="22"/>
          <w:szCs w:val="22"/>
        </w:rPr>
        <w:t>Interruptiva</w:t>
      </w:r>
      <w:proofErr w:type="spellEnd"/>
      <w:r w:rsidRPr="002B7E4F">
        <w:rPr>
          <w:rFonts w:ascii="Arial" w:hAnsi="Arial" w:cs="Arial"/>
          <w:sz w:val="22"/>
          <w:szCs w:val="22"/>
        </w:rPr>
        <w:t xml:space="preserve"> normal, simétrica de 65,000 A, a 240 VCA.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electromagnéticos, deberán ser del tipo montaje removible, equipados con cámaras de arqueo individuales y contactos de aleación plata y tungsteno, con mecanismos de operación de libre disparo, cierre y apertura rápida, equipados con unidades de disparo intercambiable del tipo estado sólido, tiempo largo, corto e instantáneo.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deberán ser del tipo de operación motorizada / manual, con disparo libre en caso de que cierre contra un cortocircuito y/o dispositivo si el mando es eléctrico.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barras a utilizar en los tableros deben ser de cobre electrolítico de pureza no inferior a 99,9% y de alta conductividad, adecuadas para servicio continuo y deberán tolerar sin daño las solicitudes térmicas y mecánicas debidas a los efectos del cortocircuito máximo especificado.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Serán pintadas y plateadas en todas las superficies de contacto, las cuales soportarán la variación térmica y dinámica originada por las corrientes nominal y de cortocircuito. Dichas barras son instaladas sobre aisladores. Las barras vendrán ensambladas de fábrica en el interior de los tableros.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llevarán en toda su longitud taladros roscados que permitan una fácil conexión de los equipos auxiliares que se vayan a instalar en el cuadro.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deben identificarse según la fase a la cual corresponde siendo la secuencia de fases A. B. C. N, T. de adelante hacia atrás, de arriba hacia abajo y de izquierda a derecha según corresponda.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sección de las barras de neutro, debe ser como mínimo de un 50 % de la sección de las barras principales.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uniones de barras se realizan con tornillos, roldanas planas y roldanas de presión.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amperaje nominal de las barras principales irá desde 125A hasta los 800A en función de las necesidades eléctricas del tablero. La alimentación de las barras principales podrá efectuarse bien desde la parte superior e inferior del talero.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 xml:space="preserve">La conexión de los interruptores principales se efectuará mediante pletinas de cobre electrolítico en línea con las barras principales.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secundarios se efectuará de forma perpendicular a las barras principales mediante dedos conectores de cobre estañado. Las barras principales permitirán la conexión de interruptores de circuito de hasta 65 </w:t>
      </w:r>
      <w:proofErr w:type="spellStart"/>
      <w:r w:rsidRPr="002B7E4F">
        <w:rPr>
          <w:rFonts w:ascii="Arial" w:hAnsi="Arial" w:cs="Arial"/>
          <w:sz w:val="22"/>
          <w:szCs w:val="22"/>
        </w:rPr>
        <w:t>kA</w:t>
      </w:r>
      <w:proofErr w:type="spellEnd"/>
      <w:r w:rsidRPr="002B7E4F">
        <w:rPr>
          <w:rFonts w:ascii="Arial" w:hAnsi="Arial" w:cs="Arial"/>
          <w:sz w:val="22"/>
          <w:szCs w:val="22"/>
        </w:rPr>
        <w:t xml:space="preserve"> de corriente máxima de cortocircuito para tensiones de 220/127 V.</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aisladores a utilizar para la fijación de las barras deben ser de resina epoxi del tipo interior, sin fisuras ni excoriaciones. Su carga de rotura, estará acorde con el esfuerzo electrodinámico que resulte de la respectiva memoria de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conductores a utilizar en el cableado interno se </w:t>
      </w:r>
      <w:proofErr w:type="gramStart"/>
      <w:r w:rsidRPr="002B7E4F">
        <w:rPr>
          <w:rFonts w:ascii="Arial" w:hAnsi="Arial" w:cs="Arial"/>
          <w:sz w:val="22"/>
          <w:szCs w:val="22"/>
        </w:rPr>
        <w:t>realizará</w:t>
      </w:r>
      <w:proofErr w:type="gramEnd"/>
      <w:r w:rsidRPr="002B7E4F">
        <w:rPr>
          <w:rFonts w:ascii="Arial" w:hAnsi="Arial" w:cs="Arial"/>
          <w:sz w:val="22"/>
          <w:szCs w:val="22"/>
        </w:rPr>
        <w:t xml:space="preserve"> con conductor flexible de cobre con aislación de PVC VN2000 </w:t>
      </w:r>
      <w:proofErr w:type="spellStart"/>
      <w:r w:rsidRPr="002B7E4F">
        <w:rPr>
          <w:rFonts w:ascii="Arial" w:hAnsi="Arial" w:cs="Arial"/>
          <w:sz w:val="22"/>
          <w:szCs w:val="22"/>
        </w:rPr>
        <w:t>antillama</w:t>
      </w:r>
      <w:proofErr w:type="spellEnd"/>
      <w:r w:rsidRPr="002B7E4F">
        <w:rPr>
          <w:rFonts w:ascii="Arial" w:hAnsi="Arial" w:cs="Arial"/>
          <w:sz w:val="22"/>
          <w:szCs w:val="22"/>
        </w:rPr>
        <w:t xml:space="preserve"> deslizante, para 600 V, y de calibre adecuado a la corriente que conducirá. Deberá estar provisto de terminales en ambos extremos, numeración inequívoca en ambos extremos, utilizando la codificación de colores reglamentarios para cada conductor polar, neutro y de protección.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cableado interior se alojará en canaletas de PVC o similar, previamente fijadas con cremallera de nylon.</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Tanto en la entrada como salida de conductores se dispondrán </w:t>
      </w:r>
      <w:proofErr w:type="spellStart"/>
      <w:r w:rsidRPr="002B7E4F">
        <w:rPr>
          <w:rFonts w:ascii="Arial" w:hAnsi="Arial" w:cs="Arial"/>
          <w:sz w:val="22"/>
          <w:szCs w:val="22"/>
        </w:rPr>
        <w:t>pasacables</w:t>
      </w:r>
      <w:proofErr w:type="spellEnd"/>
      <w:r w:rsidRPr="002B7E4F">
        <w:rPr>
          <w:rFonts w:ascii="Arial" w:hAnsi="Arial" w:cs="Arial"/>
          <w:sz w:val="22"/>
          <w:szCs w:val="22"/>
        </w:rPr>
        <w:t xml:space="preserve"> con bridas y prensas que garanticen la estanqueidad interior. Para el conexionado de los conductores de protección se dispondrá de una pletina de cobre electrolítico aislada del tablero. Esta pletina se podrá instalar en todas las esquinas del tablero.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voltímetros y amperímetros serán del tipo empotrado en caja, con dimensiones mínimas de 90 x 90mm, escala a 90º y tendrán ajuste de cero.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todos los instrumentos se marcará con una línea roja el valor correspondiente a la intensidad nominal.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Sobre el frente del cuadro, se dispondrá de rótulos con la identificación del tablero y/o de un esquema sinóptico funcional en material plástico y perfectamente adherido a la chapa.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cada columna para una fácil y rápida identificación de cada utilización.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etiquetas serán de plástico laminado en negro "</w:t>
      </w:r>
      <w:proofErr w:type="spellStart"/>
      <w:r w:rsidRPr="002B7E4F">
        <w:rPr>
          <w:rFonts w:ascii="Arial" w:hAnsi="Arial" w:cs="Arial"/>
          <w:sz w:val="22"/>
          <w:szCs w:val="22"/>
        </w:rPr>
        <w:t>Fantasit</w:t>
      </w:r>
      <w:proofErr w:type="spellEnd"/>
      <w:r w:rsidRPr="002B7E4F">
        <w:rPr>
          <w:rFonts w:ascii="Arial" w:hAnsi="Arial" w:cs="Arial"/>
          <w:sz w:val="22"/>
          <w:szCs w:val="22"/>
        </w:rPr>
        <w:t>" o equivalente, con letras blancas grabadas, de 10 mm de altura.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el cableado de control para su conexión con la Red de Datos </w:t>
      </w:r>
      <w:proofErr w:type="spellStart"/>
      <w:r w:rsidRPr="002B7E4F">
        <w:rPr>
          <w:rFonts w:ascii="Arial" w:hAnsi="Arial" w:cs="Arial"/>
          <w:sz w:val="22"/>
          <w:szCs w:val="22"/>
        </w:rPr>
        <w:t>Multiservicio</w:t>
      </w:r>
      <w:proofErr w:type="spellEnd"/>
      <w:r w:rsidRPr="002B7E4F">
        <w:rPr>
          <w:rFonts w:ascii="Arial" w:hAnsi="Arial" w:cs="Arial"/>
          <w:sz w:val="22"/>
          <w:szCs w:val="22"/>
        </w:rPr>
        <w:t xml:space="preserve">, perteneciente al Proyecto de Sistema de Telecomunicaciones, y así comunicarse con el Mando y Control de Estaciones (TES). Por tanto, dicho cableado vendrá definido por las características técnicas del subsistema de Red de Nivel Físico que se encuentra en Proyecto de Sistema de Telecomunicaciones. Se incluirá la parte </w:t>
      </w:r>
      <w:r w:rsidRPr="002B7E4F">
        <w:rPr>
          <w:rFonts w:ascii="Arial" w:hAnsi="Arial" w:cs="Arial"/>
          <w:sz w:val="22"/>
          <w:szCs w:val="22"/>
        </w:rPr>
        <w:lastRenderedPageBreak/>
        <w:t>proporcional de canalización necesaria así como los terminales y elementos auxiliares necesarios.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NMX-J118-1 Tablero de alumbrado y distribución de fuerza en baja tensión especificaciones y métodos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UL-67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(Tableros de distribución).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UL50 </w:t>
      </w:r>
      <w:proofErr w:type="spellStart"/>
      <w:r w:rsidRPr="002B7E4F">
        <w:rPr>
          <w:rFonts w:ascii="Arial" w:hAnsi="Arial" w:cs="Arial"/>
          <w:sz w:val="22"/>
          <w:szCs w:val="22"/>
        </w:rPr>
        <w:t>Enclosures</w:t>
      </w:r>
      <w:proofErr w:type="spellEnd"/>
      <w:r w:rsidRPr="002B7E4F">
        <w:rPr>
          <w:rFonts w:ascii="Arial" w:hAnsi="Arial" w:cs="Arial"/>
          <w:sz w:val="22"/>
          <w:szCs w:val="22"/>
        </w:rPr>
        <w:t xml:space="preserve"> </w:t>
      </w:r>
      <w:proofErr w:type="spellStart"/>
      <w:r w:rsidRPr="002B7E4F">
        <w:rPr>
          <w:rFonts w:ascii="Arial" w:hAnsi="Arial" w:cs="Arial"/>
          <w:sz w:val="22"/>
          <w:szCs w:val="22"/>
        </w:rPr>
        <w:t>for</w:t>
      </w:r>
      <w:proofErr w:type="spellEnd"/>
      <w:r w:rsidRPr="002B7E4F">
        <w:rPr>
          <w:rFonts w:ascii="Arial" w:hAnsi="Arial" w:cs="Arial"/>
          <w:sz w:val="22"/>
          <w:szCs w:val="22"/>
        </w:rPr>
        <w:t xml:space="preserve"> </w:t>
      </w:r>
      <w:proofErr w:type="spellStart"/>
      <w:r w:rsidRPr="002B7E4F">
        <w:rPr>
          <w:rFonts w:ascii="Arial" w:hAnsi="Arial" w:cs="Arial"/>
          <w:sz w:val="22"/>
          <w:szCs w:val="22"/>
        </w:rPr>
        <w:t>electrical</w:t>
      </w:r>
      <w:proofErr w:type="spellEnd"/>
      <w:r w:rsidRPr="002B7E4F">
        <w:rPr>
          <w:rFonts w:ascii="Arial" w:hAnsi="Arial" w:cs="Arial"/>
          <w:sz w:val="22"/>
          <w:szCs w:val="22"/>
        </w:rPr>
        <w:t xml:space="preserve"> </w:t>
      </w:r>
      <w:proofErr w:type="spellStart"/>
      <w:r w:rsidRPr="002B7E4F">
        <w:rPr>
          <w:rFonts w:ascii="Arial" w:hAnsi="Arial" w:cs="Arial"/>
          <w:sz w:val="22"/>
          <w:szCs w:val="22"/>
        </w:rPr>
        <w:t>equipment</w:t>
      </w:r>
      <w:proofErr w:type="spellEnd"/>
      <w:r w:rsidRPr="002B7E4F">
        <w:rPr>
          <w:rFonts w:ascii="Arial" w:hAnsi="Arial" w:cs="Arial"/>
          <w:sz w:val="22"/>
          <w:szCs w:val="22"/>
        </w:rPr>
        <w:t xml:space="preserve">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NMX-J-235 Gabinetes para uso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CSA C22.2 NO.29.1989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and </w:t>
      </w:r>
      <w:proofErr w:type="spellStart"/>
      <w:r w:rsidRPr="002B7E4F">
        <w:rPr>
          <w:rFonts w:ascii="Arial" w:hAnsi="Arial" w:cs="Arial"/>
          <w:sz w:val="22"/>
          <w:szCs w:val="22"/>
        </w:rPr>
        <w:t>enclosed</w:t>
      </w:r>
      <w:proofErr w:type="spellEnd"/>
      <w:r w:rsidRPr="002B7E4F">
        <w:rPr>
          <w:rFonts w:ascii="Arial" w:hAnsi="Arial" w:cs="Arial"/>
          <w:sz w:val="22"/>
          <w:szCs w:val="22"/>
        </w:rPr>
        <w:t xml:space="preserve">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 de distribución y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60439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60755 Normas generales para el arreglo de las protecciones diferenciales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60947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61185 Transformadores para la medida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61000 Compatibilidad electromagnética.</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462F48">
      <w:pPr>
        <w:pStyle w:val="TITULO-3"/>
        <w:numPr>
          <w:ilvl w:val="2"/>
          <w:numId w:val="48"/>
        </w:numPr>
        <w:rPr>
          <w:rFonts w:ascii="Arial" w:hAnsi="Arial" w:cs="Arial"/>
          <w:b/>
          <w:sz w:val="22"/>
          <w:szCs w:val="22"/>
        </w:rPr>
      </w:pPr>
      <w:bookmarkStart w:id="2" w:name="_Toc368069906"/>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 instalarán dentro de las salas BT de las estaciones, según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los tableros se tendrá en cuenta las condiciones del local, evitando quedar expuesto a la lluvia y/o a goteos de agua.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Deberán ser fácilmente accesibles para su revisión, mantenimiento y operación por personal calificado con conocimientos plenos de la instalación, evitando que personas ajenas a la operación de los equipos tengan acceso a estos.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highlight w:val="yellow"/>
        </w:rPr>
      </w:pPr>
      <w:r w:rsidRPr="002B7E4F">
        <w:rPr>
          <w:rFonts w:ascii="Arial" w:hAnsi="Arial" w:cs="Arial"/>
          <w:sz w:val="22"/>
          <w:szCs w:val="22"/>
        </w:rPr>
        <w:t xml:space="preserve">En la instalación de los tableros se debe tomar en cuenta la instalación de conductores eléctricos que llegan o salen de ellos, las canalizaciones para alojarlos y los sistemas de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en todo el local, evitando que las canalizaciones estén soportadas en los mismos tableros. El arreglo de los tableros u otros elementos que se instalan en los </w:t>
      </w:r>
      <w:r w:rsidRPr="002B7E4F">
        <w:rPr>
          <w:rFonts w:ascii="Arial" w:hAnsi="Arial" w:cs="Arial"/>
          <w:sz w:val="22"/>
          <w:szCs w:val="22"/>
        </w:rPr>
        <w:lastRenderedPageBreak/>
        <w:t>locales técnicos debe ser tal que cuando sea necesario retirar algún equipo, no se requiera realizar maniobras adicionales en los otros equipos ubicados en dicho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deben presentar los planos constructivos, debidamente acotados incluyendo el cálculo de barras de distribución, soporte de barras y demás elementos de soporte y sujeción, tanto desde el punto de vista del calentamiento como de esfuerzo dinámico para la potencia de cortocircuito establecida en su respectivo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 unifilar definitivo de los tableros.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 xml:space="preserve">Esquema </w:t>
      </w:r>
      <w:proofErr w:type="spellStart"/>
      <w:r w:rsidRPr="002B7E4F">
        <w:rPr>
          <w:rFonts w:ascii="Arial" w:hAnsi="Arial" w:cs="Arial"/>
          <w:sz w:val="22"/>
          <w:szCs w:val="22"/>
        </w:rPr>
        <w:t>tri</w:t>
      </w:r>
      <w:proofErr w:type="spellEnd"/>
      <w:r w:rsidRPr="002B7E4F">
        <w:rPr>
          <w:rFonts w:ascii="Arial" w:hAnsi="Arial" w:cs="Arial"/>
          <w:sz w:val="22"/>
          <w:szCs w:val="22"/>
        </w:rPr>
        <w:t>/</w:t>
      </w:r>
      <w:proofErr w:type="spellStart"/>
      <w:r w:rsidRPr="002B7E4F">
        <w:rPr>
          <w:rFonts w:ascii="Arial" w:hAnsi="Arial" w:cs="Arial"/>
          <w:sz w:val="22"/>
          <w:szCs w:val="22"/>
        </w:rPr>
        <w:t>tetrafilar</w:t>
      </w:r>
      <w:proofErr w:type="spellEnd"/>
      <w:r w:rsidRPr="002B7E4F">
        <w:rPr>
          <w:rFonts w:ascii="Arial" w:hAnsi="Arial" w:cs="Arial"/>
          <w:sz w:val="22"/>
          <w:szCs w:val="22"/>
        </w:rPr>
        <w:t xml:space="preserve"> con indicación de sección de barras, cables, borneras, etc.</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funcionales: con enclavamiento, señales de alarma, lógica de PLC (si se solicita).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de cableado y borneras.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Planos de herrería y dimensionado con detalles constructivos (vistas, cortes y detalles).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Memoria de cálculo.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Lista de leyendas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construcción de los tableros.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los tableros generales, secundarios o de respaldo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 de cada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La posibilidad de terminación de los alimentadores eléctricos principales, secundarios o de respaldo de cada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tableros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del tablero.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tableros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8"/>
        </w:numPr>
        <w:rPr>
          <w:rFonts w:ascii="Arial" w:hAnsi="Arial" w:cs="Arial"/>
          <w:b/>
          <w:sz w:val="22"/>
          <w:szCs w:val="22"/>
        </w:rPr>
      </w:pPr>
      <w:bookmarkStart w:id="3" w:name="_Toc368069907"/>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8"/>
        </w:numPr>
        <w:rPr>
          <w:rFonts w:ascii="Arial" w:hAnsi="Arial" w:cs="Arial"/>
          <w:b/>
          <w:sz w:val="22"/>
          <w:szCs w:val="22"/>
        </w:rPr>
      </w:pPr>
      <w:bookmarkStart w:id="4" w:name="_Toc368069908"/>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 del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Examen de cableado y ensayo de funcionamiento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dieléctrico.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los sistemas de protección y continuidad eléctrica de los circuitos de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Verificación de la resistencia de aislación.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del funcionamiento mecánico de las protecciones.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voltajes y amperaje de cada circuito.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ubicación correcta de la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que la protección este de acuerdo al área completa o equipo considerada en los respectivos planos.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valores en el equipo de medición.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Ausencia de ruidos y vibraciones.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ausencia de altas temperaturas en conexiones.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Adicionalmente a los puntos anteriores, como criterio general para poder aceptar un tablero en la instalación es requisito que los tableros cumplan con todos los puntos marcados en la columna de ACEPTADO de la siguiente tabla. En caso de que algún punto después de la revisión se considere dentro de la columna RECHAZADO es obligación del contratista reparar la falla sin costo alguno para el CDG, hasta la completa satisfacción de la dirección de obra.</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2950"/>
        <w:gridCol w:w="3091"/>
      </w:tblGrid>
      <w:tr w:rsidR="002B7E4F" w:rsidRPr="002B7E4F" w:rsidTr="002B7E4F">
        <w:trPr>
          <w:tblHeader/>
          <w:jc w:val="center"/>
        </w:trPr>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ELEMENTO DE REVISIÓN</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ACEPTADO</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RECHAZADO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Completo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Incompleto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 de 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rayones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rayones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Puertas apertura y cierre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rozamiento ni bloqueos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rozamientos o bloqueos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Rigidez estructural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Firme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Floja</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Apertura y cierre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bloqueos internos o externos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bloqueos internos o externos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Cotejo de planos aprobados y tablero construido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Cableado conforme a plano de diagrama unifilar</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Continuidad mecánica y eléctrica entre secciones del </w:t>
            </w:r>
            <w:r w:rsidRPr="002B7E4F">
              <w:rPr>
                <w:rFonts w:ascii="Arial" w:hAnsi="Arial" w:cs="Arial"/>
                <w:sz w:val="22"/>
                <w:szCs w:val="22"/>
              </w:rPr>
              <w:lastRenderedPageBreak/>
              <w:t>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Conexión a tierra de todas las secciones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t>Trensillas</w:t>
            </w:r>
            <w:proofErr w:type="spellEnd"/>
            <w:r w:rsidRPr="002B7E4F">
              <w:rPr>
                <w:rFonts w:ascii="Arial" w:hAnsi="Arial" w:cs="Arial"/>
                <w:sz w:val="22"/>
                <w:szCs w:val="22"/>
              </w:rPr>
              <w:t xml:space="preserve"> flexibles en puertas para continuidad a tierra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aprietes entre conductores e interruptores y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Apriete entre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con carga de todo el conjunto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De acuerdo a proyecto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proyecto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correcta de equipo de medición</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Comunicación para mando y control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local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luces piloto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Encienden todas las luces de acuerdo a proyecto y nomenclatura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encienden todas las luces de acuerdo a proyecto y nomenclatura</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Selector de operación local o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Correcta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Incorrecta</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8"/>
        </w:numPr>
        <w:rPr>
          <w:rFonts w:ascii="Arial" w:hAnsi="Arial" w:cs="Arial"/>
          <w:b/>
          <w:sz w:val="22"/>
          <w:szCs w:val="22"/>
        </w:rPr>
      </w:pPr>
      <w:bookmarkStart w:id="5" w:name="_Toc368069909"/>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B02E1">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2E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971BF-969E-494D-9300-F3B7D0C3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2897</Words>
  <Characters>15938</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2014-04-10T22:39:00Z</dcterms:created>
  <dcterms:modified xsi:type="dcterms:W3CDTF">2014-04-10T22:39:00Z</dcterms:modified>
</cp:coreProperties>
</file>